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7DC0" w14:textId="77777777" w:rsidR="00903FDA" w:rsidRDefault="00D25AAE" w:rsidP="00903FDA">
      <w:pPr>
        <w:jc w:val="center"/>
        <w:rPr>
          <w:b/>
          <w:bCs/>
        </w:rPr>
      </w:pPr>
      <w:r>
        <w:rPr>
          <w:b/>
          <w:bCs/>
        </w:rPr>
        <w:t>TOWN OF HACKETTSTOWN</w:t>
      </w:r>
    </w:p>
    <w:p w14:paraId="00E3F0D7" w14:textId="77777777" w:rsidR="00903FDA" w:rsidRDefault="00903FDA" w:rsidP="00903FDA">
      <w:pPr>
        <w:jc w:val="center"/>
        <w:rPr>
          <w:b/>
          <w:bCs/>
        </w:rPr>
      </w:pPr>
    </w:p>
    <w:p w14:paraId="439B2386" w14:textId="19F4AFC4" w:rsidR="00903FDA" w:rsidRDefault="00D25AAE" w:rsidP="00903FDA">
      <w:pPr>
        <w:jc w:val="center"/>
        <w:rPr>
          <w:b/>
          <w:bCs/>
        </w:rPr>
      </w:pPr>
      <w:bookmarkStart w:id="0" w:name="_Hlk78801705"/>
      <w:r>
        <w:rPr>
          <w:b/>
          <w:bCs/>
        </w:rPr>
        <w:t>ORD</w:t>
      </w:r>
      <w:r w:rsidR="00C26389">
        <w:rPr>
          <w:b/>
          <w:bCs/>
        </w:rPr>
        <w:t>. 2022-04</w:t>
      </w:r>
    </w:p>
    <w:p w14:paraId="31AEA718" w14:textId="77777777" w:rsidR="00903FDA" w:rsidRDefault="00903FDA" w:rsidP="00903FDA">
      <w:pPr>
        <w:jc w:val="center"/>
        <w:rPr>
          <w:b/>
          <w:bCs/>
        </w:rPr>
      </w:pPr>
    </w:p>
    <w:p w14:paraId="144D19BD" w14:textId="273597B6" w:rsidR="00903FDA" w:rsidRPr="00554AC3" w:rsidRDefault="00D25AAE" w:rsidP="00903FDA">
      <w:pPr>
        <w:tabs>
          <w:tab w:val="left" w:pos="720"/>
          <w:tab w:val="left" w:pos="8640"/>
        </w:tabs>
        <w:ind w:left="720" w:right="720"/>
        <w:jc w:val="center"/>
        <w:rPr>
          <w:b/>
          <w:bCs/>
        </w:rPr>
      </w:pPr>
      <w:r w:rsidRPr="002E7F40">
        <w:rPr>
          <w:b/>
          <w:bCs/>
          <w:color w:val="000000"/>
        </w:rPr>
        <w:t xml:space="preserve">AN ORDINANCE </w:t>
      </w:r>
      <w:r w:rsidRPr="002E7F40">
        <w:rPr>
          <w:b/>
          <w:bCs/>
        </w:rPr>
        <w:t xml:space="preserve">OF THE TOWN OF HACKETTSTOWN, COUNTY OF WARREN, STATE OF NEW JERSEY, </w:t>
      </w:r>
      <w:r>
        <w:rPr>
          <w:b/>
          <w:bCs/>
        </w:rPr>
        <w:t>AUTHORIZING THE EXECUTION OF A LONG-TERM TAX EXEMPTION AGREEMENT, PURSUANT TO THE LONG-TERM TAX EXEMPTION LAW, N.J.S.A. 40A:20-1 ET SEQ., WITH JADE HACKETTSTOWN ASSOCIATES URBAN RENEWAL LLC</w:t>
      </w:r>
    </w:p>
    <w:bookmarkEnd w:id="0"/>
    <w:p w14:paraId="6CE12F37" w14:textId="77777777" w:rsidR="00903FDA" w:rsidRDefault="00903FDA" w:rsidP="00903FDA"/>
    <w:p w14:paraId="15DD3CBB" w14:textId="5AB3E2FC" w:rsidR="00903FDA" w:rsidRDefault="00D25AAE" w:rsidP="00C26389">
      <w:pPr>
        <w:rPr>
          <w:bCs/>
        </w:rPr>
      </w:pPr>
      <w:r w:rsidRPr="004A7B4E">
        <w:rPr>
          <w:b/>
          <w:bCs/>
        </w:rPr>
        <w:tab/>
        <w:t>WHEREAS</w:t>
      </w:r>
      <w:r w:rsidRPr="004A7B4E">
        <w:rPr>
          <w:bCs/>
        </w:rPr>
        <w:t>, the Town of Hackettstown (the “</w:t>
      </w:r>
      <w:r w:rsidRPr="004A7B4E">
        <w:rPr>
          <w:b/>
          <w:bCs/>
        </w:rPr>
        <w:t>Town</w:t>
      </w:r>
      <w:r w:rsidRPr="004A7B4E">
        <w:rPr>
          <w:bCs/>
        </w:rPr>
        <w:t xml:space="preserve">”) is authorized pursuant to the Local Redevelopment and Housing Law of the State of New Jersey, </w:t>
      </w:r>
      <w:r w:rsidRPr="004A7B4E">
        <w:rPr>
          <w:bCs/>
          <w:i/>
        </w:rPr>
        <w:t>N.J.S.A.</w:t>
      </w:r>
      <w:r w:rsidRPr="004A7B4E">
        <w:rPr>
          <w:bCs/>
        </w:rPr>
        <w:t xml:space="preserve"> 40A:12A-1 </w:t>
      </w:r>
      <w:r w:rsidRPr="004A7B4E">
        <w:rPr>
          <w:bCs/>
          <w:i/>
        </w:rPr>
        <w:t>et seq</w:t>
      </w:r>
      <w:r w:rsidRPr="004A7B4E">
        <w:rPr>
          <w:bCs/>
        </w:rPr>
        <w:t>. (the “</w:t>
      </w:r>
      <w:r w:rsidRPr="004A7B4E">
        <w:rPr>
          <w:b/>
          <w:bCs/>
        </w:rPr>
        <w:t>Redevelopment Law</w:t>
      </w:r>
      <w:r w:rsidRPr="004A7B4E">
        <w:rPr>
          <w:bCs/>
        </w:rPr>
        <w:t>”), to determine whether certain parcels of land within the Town constitute an area in need of redevelopment; and</w:t>
      </w:r>
    </w:p>
    <w:p w14:paraId="4217C373" w14:textId="77777777" w:rsidR="001770CA" w:rsidRPr="004A7B4E" w:rsidRDefault="001770CA" w:rsidP="00C26389">
      <w:pPr>
        <w:rPr>
          <w:bCs/>
        </w:rPr>
      </w:pPr>
    </w:p>
    <w:p w14:paraId="636F8D33" w14:textId="24B1EDD1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 pursuant to Redevelopment Law, on December 14, 1998, the Mayor and Council (the “</w:t>
      </w:r>
      <w:r w:rsidRPr="004A7B4E">
        <w:rPr>
          <w:b/>
        </w:rPr>
        <w:t>Governing Body</w:t>
      </w:r>
      <w:r w:rsidRPr="004A7B4E">
        <w:t>”), adopted Ordinance No. 98-ORD17, designating the properties identified on the official tax map of the Town as Block 38, Lots 2, 3, 3.01, 4 and 5; Block 34, Lot 5 (formerly Lots 3, 4, 5 and 7.01); Block 30, Lots 5-9; Block 21, Lots 18.01 and 18.02; Block 41, Lots 17, 21, 22, 23, 24 and 25; Block 41.02, Lots 17, 21, 22, 23, 24, 25, 2929.01, 30 and 32; and a portion of the Bergen Street right-of-way as part of an area in need of redevelopment and referred to as the “Stiger Street Redevelopment Area”; and</w:t>
      </w:r>
    </w:p>
    <w:p w14:paraId="58FD3900" w14:textId="77777777" w:rsidR="001770CA" w:rsidRPr="004A7B4E" w:rsidRDefault="001770CA" w:rsidP="00C26389">
      <w:pPr>
        <w:ind w:firstLine="720"/>
        <w:rPr>
          <w:color w:val="FF0000"/>
        </w:rPr>
      </w:pPr>
    </w:p>
    <w:p w14:paraId="4988D15E" w14:textId="6D46C8B0" w:rsidR="00903FDA" w:rsidRPr="004A7B4E" w:rsidRDefault="00D25AAE" w:rsidP="00C26389">
      <w:pPr>
        <w:ind w:firstLine="720"/>
        <w:rPr>
          <w:bCs/>
        </w:rPr>
      </w:pPr>
      <w:r w:rsidRPr="004A7B4E">
        <w:rPr>
          <w:b/>
          <w:bCs/>
        </w:rPr>
        <w:t>WHEREAS</w:t>
      </w:r>
      <w:r w:rsidRPr="004A7B4E">
        <w:rPr>
          <w:bCs/>
        </w:rPr>
        <w:t xml:space="preserve">, on </w:t>
      </w:r>
      <w:r w:rsidR="00C26389">
        <w:rPr>
          <w:bCs/>
        </w:rPr>
        <w:t xml:space="preserve">March 10, 2022 </w:t>
      </w:r>
      <w:r w:rsidRPr="004A7B4E">
        <w:rPr>
          <w:bCs/>
        </w:rPr>
        <w:t xml:space="preserve">the Governing Body, </w:t>
      </w:r>
      <w:r w:rsidRPr="004A7B4E">
        <w:rPr>
          <w:rStyle w:val="PageNumber"/>
          <w:color w:val="000000"/>
          <w:u w:color="000000"/>
        </w:rPr>
        <w:t>by Ordinance No</w:t>
      </w:r>
      <w:r w:rsidR="00C26389">
        <w:rPr>
          <w:rStyle w:val="PageNumber"/>
          <w:color w:val="000000"/>
          <w:u w:color="000000"/>
        </w:rPr>
        <w:t>. 2022-02</w:t>
      </w:r>
      <w:r w:rsidRPr="004A7B4E">
        <w:rPr>
          <w:rStyle w:val="PageNumber"/>
          <w:color w:val="000000"/>
          <w:u w:color="000000"/>
        </w:rPr>
        <w:t xml:space="preserve">, </w:t>
      </w:r>
      <w:r w:rsidRPr="004A7B4E">
        <w:t>adopted</w:t>
      </w:r>
      <w:r w:rsidRPr="004A7B4E">
        <w:rPr>
          <w:rStyle w:val="PageNumber"/>
          <w:color w:val="000000"/>
          <w:u w:color="000000"/>
        </w:rPr>
        <w:t xml:space="preserve"> a redevelopment plan for the former Bergen Tool property located within the Stiger Street Redevelopment Area, which consists, in-part, of Lot 18.02 in Block 21 and a portion of the Bergen Street right-of-way </w:t>
      </w:r>
      <w:r w:rsidRPr="004A7B4E">
        <w:t>(the “</w:t>
      </w:r>
      <w:r w:rsidRPr="004A7B4E">
        <w:rPr>
          <w:b/>
          <w:bCs/>
        </w:rPr>
        <w:t>Redevelopment Area</w:t>
      </w:r>
      <w:r w:rsidRPr="004A7B4E">
        <w:t>”)</w:t>
      </w:r>
      <w:r w:rsidRPr="004A7B4E">
        <w:rPr>
          <w:rStyle w:val="PageNumber"/>
          <w:color w:val="000000"/>
          <w:u w:color="000000"/>
        </w:rPr>
        <w:t>, entitled the “Bergen Tool Redevelopment Plan” (the “</w:t>
      </w:r>
      <w:r w:rsidRPr="004A7B4E">
        <w:rPr>
          <w:rStyle w:val="PageNumber"/>
          <w:b/>
          <w:bCs/>
          <w:color w:val="000000"/>
          <w:u w:color="000000"/>
        </w:rPr>
        <w:t>Redevelopment Plan</w:t>
      </w:r>
      <w:r w:rsidRPr="004A7B4E">
        <w:rPr>
          <w:rStyle w:val="PageNumber"/>
          <w:color w:val="000000"/>
          <w:u w:color="000000"/>
        </w:rPr>
        <w:t>”); and</w:t>
      </w:r>
      <w:r w:rsidRPr="004A7B4E">
        <w:rPr>
          <w:bCs/>
        </w:rPr>
        <w:t xml:space="preserve"> </w:t>
      </w:r>
    </w:p>
    <w:p w14:paraId="20D4D5F2" w14:textId="7B5E8B72" w:rsidR="00903FDA" w:rsidRDefault="00903FDA" w:rsidP="00C26389">
      <w:pPr>
        <w:ind w:firstLine="720"/>
        <w:rPr>
          <w:b/>
        </w:rPr>
      </w:pPr>
    </w:p>
    <w:p w14:paraId="587FA9FF" w14:textId="25FF6D8A" w:rsidR="006176C0" w:rsidRDefault="00D25AAE" w:rsidP="00C26389">
      <w:pPr>
        <w:ind w:firstLine="720"/>
      </w:pPr>
      <w:bookmarkStart w:id="1" w:name="_Hlk92177655"/>
      <w:r w:rsidRPr="004A7B4E">
        <w:rPr>
          <w:b/>
        </w:rPr>
        <w:t>WHEREAS</w:t>
      </w:r>
      <w:r w:rsidRPr="004A7B4E">
        <w:t>, the Governing Body</w:t>
      </w:r>
      <w:r>
        <w:t xml:space="preserve"> has </w:t>
      </w:r>
      <w:r w:rsidRPr="004A7B4E">
        <w:t>appointed Jade Hackettstown Associates Urban Renewal, LLC (“</w:t>
      </w:r>
      <w:r w:rsidRPr="004A7B4E">
        <w:rPr>
          <w:b/>
        </w:rPr>
        <w:t>Redeveloper</w:t>
      </w:r>
      <w:r w:rsidRPr="004A7B4E">
        <w:t xml:space="preserve">”) as the redeveloper of the Redevelopment Area; and </w:t>
      </w:r>
    </w:p>
    <w:p w14:paraId="34A97DF2" w14:textId="77777777" w:rsidR="006176C0" w:rsidRPr="004A7B4E" w:rsidRDefault="006176C0" w:rsidP="00C26389">
      <w:pPr>
        <w:ind w:firstLine="720"/>
        <w:rPr>
          <w:bCs/>
        </w:rPr>
      </w:pPr>
    </w:p>
    <w:p w14:paraId="65516C60" w14:textId="77777777" w:rsidR="006176C0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 xml:space="preserve">, </w:t>
      </w:r>
      <w:r>
        <w:t xml:space="preserve">to implement the development, financing, construction, operation </w:t>
      </w:r>
    </w:p>
    <w:p w14:paraId="7FB7994E" w14:textId="18B8241F" w:rsidR="006176C0" w:rsidRDefault="00D25AAE" w:rsidP="00C26389">
      <w:r>
        <w:t>and management of the Project as defined below, the Town entered into a redevelopment agreement with the Redeveloper dated March 10, 2022 (the “</w:t>
      </w:r>
      <w:r w:rsidRPr="00A04735">
        <w:rPr>
          <w:b/>
          <w:bCs/>
        </w:rPr>
        <w:t>Redevelopment Agreement</w:t>
      </w:r>
      <w:r>
        <w:t>”), which Redevelopment Agreement specifies the rights and responsibilities of the Town and Redeveloper with respect to certain aspects of the Redevelopment Plan; and</w:t>
      </w:r>
    </w:p>
    <w:p w14:paraId="41813DE5" w14:textId="77777777" w:rsidR="006176C0" w:rsidRPr="004A7B4E" w:rsidRDefault="006176C0" w:rsidP="00C26389">
      <w:pPr>
        <w:ind w:firstLine="720"/>
        <w:rPr>
          <w:b/>
          <w:bCs/>
        </w:rPr>
      </w:pPr>
      <w:bookmarkStart w:id="2" w:name="_Hlk90974342"/>
      <w:bookmarkStart w:id="3" w:name="_Hlk92177625"/>
      <w:bookmarkEnd w:id="1"/>
    </w:p>
    <w:p w14:paraId="202073BE" w14:textId="119E1F5D" w:rsidR="00903FDA" w:rsidRDefault="00D25AAE" w:rsidP="00C26389">
      <w:pPr>
        <w:ind w:firstLine="720"/>
        <w:rPr>
          <w:rFonts w:eastAsia="Calibri"/>
        </w:rPr>
      </w:pPr>
      <w:r w:rsidRPr="004A7B4E">
        <w:rPr>
          <w:b/>
          <w:bCs/>
        </w:rPr>
        <w:t>WHEREAS</w:t>
      </w:r>
      <w:r w:rsidRPr="004A7B4E">
        <w:rPr>
          <w:bCs/>
        </w:rPr>
        <w:t xml:space="preserve">, the Redevelopment </w:t>
      </w:r>
      <w:r w:rsidR="006176C0">
        <w:rPr>
          <w:bCs/>
        </w:rPr>
        <w:t xml:space="preserve">Agreement </w:t>
      </w:r>
      <w:r w:rsidRPr="004A7B4E">
        <w:rPr>
          <w:bCs/>
        </w:rPr>
        <w:t xml:space="preserve">provides for the subdivision of the Redevelopment Area </w:t>
      </w:r>
      <w:r w:rsidRPr="004A7B4E">
        <w:t xml:space="preserve">into two (2) or more lots </w:t>
      </w:r>
      <w:r w:rsidRPr="004A7B4E">
        <w:rPr>
          <w:rFonts w:eastAsia="Calibri"/>
        </w:rPr>
        <w:t>to create two (2) distinct project areas, to include</w:t>
      </w:r>
      <w:bookmarkEnd w:id="2"/>
      <w:r w:rsidRPr="004A7B4E">
        <w:rPr>
          <w:rFonts w:eastAsia="Calibri"/>
        </w:rPr>
        <w:t xml:space="preserve"> a </w:t>
      </w:r>
      <w:bookmarkStart w:id="4" w:name="_Hlk90235240"/>
      <w:r w:rsidRPr="004A7B4E">
        <w:rPr>
          <w:rFonts w:eastAsia="Calibri"/>
        </w:rPr>
        <w:t>Mixed-Use Project Area</w:t>
      </w:r>
      <w:bookmarkEnd w:id="4"/>
      <w:r w:rsidRPr="004A7B4E">
        <w:rPr>
          <w:rFonts w:eastAsia="Calibri"/>
        </w:rPr>
        <w:t xml:space="preserve"> and a Townhome Project Area (collectively, the “</w:t>
      </w:r>
      <w:r w:rsidRPr="004A7B4E">
        <w:rPr>
          <w:rFonts w:eastAsia="Calibri"/>
          <w:b/>
          <w:bCs/>
        </w:rPr>
        <w:t>Project</w:t>
      </w:r>
      <w:r w:rsidRPr="004A7B4E">
        <w:rPr>
          <w:rFonts w:eastAsia="Calibri"/>
        </w:rPr>
        <w:t>”); and</w:t>
      </w:r>
    </w:p>
    <w:p w14:paraId="3389B1B8" w14:textId="4473B783" w:rsidR="006176C0" w:rsidRDefault="006176C0" w:rsidP="00C26389">
      <w:pPr>
        <w:ind w:firstLine="720"/>
        <w:rPr>
          <w:rFonts w:eastAsia="Calibri"/>
        </w:rPr>
      </w:pPr>
    </w:p>
    <w:bookmarkEnd w:id="3"/>
    <w:p w14:paraId="1804F6CC" w14:textId="48978398" w:rsidR="00903FDA" w:rsidRDefault="00D25AAE" w:rsidP="00C26389">
      <w:pPr>
        <w:ind w:firstLine="720"/>
      </w:pPr>
      <w:r w:rsidRPr="004A7B4E">
        <w:rPr>
          <w:b/>
          <w:bCs/>
        </w:rPr>
        <w:t>WHEREAS</w:t>
      </w:r>
      <w:r w:rsidRPr="004A7B4E">
        <w:rPr>
          <w:bCs/>
        </w:rPr>
        <w:t xml:space="preserve">, the </w:t>
      </w:r>
      <w:r w:rsidRPr="00202F79">
        <w:t xml:space="preserve">Mixed-Use Project Area </w:t>
      </w:r>
      <w:bookmarkStart w:id="5" w:name="_Hlk90235297"/>
      <w:r w:rsidRPr="00202F79">
        <w:t>will consist of</w:t>
      </w:r>
      <w:r>
        <w:t xml:space="preserve"> an approximately 1,800 square ft. commercial retail pad site and a mixed-use building</w:t>
      </w:r>
      <w:bookmarkEnd w:id="5"/>
      <w:r>
        <w:t xml:space="preserve"> consisting of</w:t>
      </w:r>
      <w:r w:rsidRPr="00202F79">
        <w:t xml:space="preserve"> thirty-five (35) residential </w:t>
      </w:r>
      <w:r w:rsidRPr="00202F79">
        <w:lastRenderedPageBreak/>
        <w:t>dwelling units and a</w:t>
      </w:r>
      <w:r>
        <w:t xml:space="preserve">pproximately 9,000 square feet </w:t>
      </w:r>
      <w:r w:rsidRPr="00202F79">
        <w:t xml:space="preserve">of retail or office building space </w:t>
      </w:r>
      <w:r>
        <w:t xml:space="preserve">located </w:t>
      </w:r>
      <w:r w:rsidRPr="00202F79">
        <w:t>on the first floor</w:t>
      </w:r>
      <w:r>
        <w:t>; and</w:t>
      </w:r>
    </w:p>
    <w:p w14:paraId="77A039C7" w14:textId="77777777" w:rsidR="001770CA" w:rsidRPr="004A7B4E" w:rsidRDefault="001770CA" w:rsidP="00C26389">
      <w:pPr>
        <w:ind w:firstLine="720"/>
        <w:rPr>
          <w:b/>
        </w:rPr>
      </w:pPr>
    </w:p>
    <w:p w14:paraId="701FC605" w14:textId="7A25E309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 xml:space="preserve">, in accordance with the Long-Term Tax Exemption Law, </w:t>
      </w:r>
      <w:r w:rsidRPr="00C7439B">
        <w:rPr>
          <w:i/>
          <w:iCs/>
        </w:rPr>
        <w:t>N.J.S.A.</w:t>
      </w:r>
      <w:r w:rsidRPr="004A7B4E">
        <w:t xml:space="preserve"> 40A:20-1 et seq. (the “</w:t>
      </w:r>
      <w:r w:rsidRPr="00A04735">
        <w:rPr>
          <w:b/>
          <w:bCs/>
        </w:rPr>
        <w:t>LTTEL</w:t>
      </w:r>
      <w:r w:rsidRPr="004A7B4E">
        <w:t xml:space="preserve">”), </w:t>
      </w:r>
      <w:r>
        <w:t xml:space="preserve">the </w:t>
      </w:r>
      <w:r w:rsidRPr="00F502C5">
        <w:rPr>
          <w:bCs/>
        </w:rPr>
        <w:t>Redeveloper</w:t>
      </w:r>
      <w:r w:rsidRPr="004A7B4E">
        <w:t xml:space="preserve"> has filed with the Mayor of the Town an application for approval of a long</w:t>
      </w:r>
      <w:r w:rsidR="00A04735">
        <w:t>-</w:t>
      </w:r>
      <w:r w:rsidRPr="004A7B4E">
        <w:t>term tax exemption (the “</w:t>
      </w:r>
      <w:r w:rsidRPr="000421AA">
        <w:rPr>
          <w:b/>
          <w:bCs/>
        </w:rPr>
        <w:t>Long</w:t>
      </w:r>
      <w:r w:rsidR="00A04735">
        <w:rPr>
          <w:b/>
          <w:bCs/>
        </w:rPr>
        <w:t>-</w:t>
      </w:r>
      <w:r w:rsidRPr="000421AA">
        <w:rPr>
          <w:b/>
          <w:bCs/>
        </w:rPr>
        <w:t>Term Tax Exemption</w:t>
      </w:r>
      <w:r w:rsidRPr="004A7B4E">
        <w:t xml:space="preserve">”) for the </w:t>
      </w:r>
      <w:r w:rsidRPr="004A7B4E">
        <w:rPr>
          <w:rFonts w:eastAsia="Calibri"/>
        </w:rPr>
        <w:t>Mixed-Use Project Area</w:t>
      </w:r>
      <w:r w:rsidRPr="004A7B4E">
        <w:t>, which application is incorporated herein by reference (the “</w:t>
      </w:r>
      <w:r w:rsidRPr="000421AA">
        <w:rPr>
          <w:b/>
          <w:bCs/>
        </w:rPr>
        <w:t>Application</w:t>
      </w:r>
      <w:r w:rsidRPr="004A7B4E">
        <w:t>”); and</w:t>
      </w:r>
      <w:r w:rsidR="00746A79">
        <w:t xml:space="preserve"> </w:t>
      </w:r>
    </w:p>
    <w:p w14:paraId="314DCCA2" w14:textId="77777777" w:rsidR="001770CA" w:rsidRDefault="001770CA" w:rsidP="00C26389">
      <w:pPr>
        <w:ind w:firstLine="720"/>
      </w:pPr>
    </w:p>
    <w:p w14:paraId="48C53F04" w14:textId="49C5D7D0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 the Governing Body has determined that the Mixed-Use Project Area will qualify for a tax exemption under the LTTEL; and</w:t>
      </w:r>
    </w:p>
    <w:p w14:paraId="52BF135D" w14:textId="77777777" w:rsidR="001770CA" w:rsidRDefault="001770CA" w:rsidP="00C26389">
      <w:pPr>
        <w:ind w:firstLine="720"/>
      </w:pPr>
    </w:p>
    <w:p w14:paraId="4B829987" w14:textId="1D5B1C5C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pursuant to and in accordance with the provisions of the Redevelopment Law </w:t>
      </w:r>
    </w:p>
    <w:p w14:paraId="1DA8A544" w14:textId="6D713B92" w:rsidR="00903FDA" w:rsidRDefault="00D25AAE" w:rsidP="00C26389">
      <w:r>
        <w:t xml:space="preserve">and the </w:t>
      </w:r>
      <w:r w:rsidR="00C7439B">
        <w:t>LTTEL</w:t>
      </w:r>
      <w:r>
        <w:t xml:space="preserve">, the </w:t>
      </w:r>
      <w:r w:rsidR="007C0D14">
        <w:t>Town</w:t>
      </w:r>
      <w:r>
        <w:t xml:space="preserve"> is authorized to provide for a tax exemption within a redevelopment area and for payments in lieu of taxes (“PILOTs”) in accordance with</w:t>
      </w:r>
      <w:r w:rsidR="00C7439B">
        <w:t xml:space="preserve"> </w:t>
      </w:r>
      <w:r>
        <w:t xml:space="preserve">certain applicable provisions of the </w:t>
      </w:r>
      <w:r w:rsidR="00C7439B">
        <w:t>LTTEL</w:t>
      </w:r>
      <w:r>
        <w:t>; and</w:t>
      </w:r>
    </w:p>
    <w:p w14:paraId="69D8DD58" w14:textId="374E4BA2" w:rsidR="00903FDA" w:rsidRDefault="00903FDA" w:rsidP="00C26389"/>
    <w:p w14:paraId="51B8587F" w14:textId="0EF3F365" w:rsidR="00746A79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the Governing Body has made the following findings:</w:t>
      </w:r>
    </w:p>
    <w:p w14:paraId="1DE4A658" w14:textId="77777777" w:rsidR="00746A79" w:rsidRDefault="00746A79" w:rsidP="00C26389"/>
    <w:p w14:paraId="6B27DF0D" w14:textId="1A1A002D" w:rsidR="00746A79" w:rsidRDefault="00D25AAE" w:rsidP="00C26389">
      <w:pPr>
        <w:pStyle w:val="ListParagraph"/>
        <w:numPr>
          <w:ilvl w:val="0"/>
          <w:numId w:val="1"/>
        </w:numPr>
      </w:pPr>
      <w:r w:rsidRPr="00746A79">
        <w:rPr>
          <w:b/>
          <w:bCs/>
        </w:rPr>
        <w:t>Benefits of Project vs. Costs</w:t>
      </w:r>
      <w:r>
        <w:t>.</w:t>
      </w:r>
    </w:p>
    <w:p w14:paraId="339F6514" w14:textId="77777777" w:rsidR="00746A79" w:rsidRDefault="00746A79" w:rsidP="00C26389"/>
    <w:p w14:paraId="33983F34" w14:textId="4D3C6BA1" w:rsidR="00746A79" w:rsidRDefault="00D25AAE" w:rsidP="00C26389">
      <w:pPr>
        <w:pStyle w:val="ListParagraph"/>
        <w:numPr>
          <w:ilvl w:val="1"/>
          <w:numId w:val="1"/>
        </w:numPr>
        <w:ind w:left="1080"/>
      </w:pPr>
      <w:r>
        <w:t xml:space="preserve">The development and construction of the </w:t>
      </w:r>
      <w:r w:rsidR="00A04735" w:rsidRPr="004A7B4E">
        <w:rPr>
          <w:rFonts w:eastAsia="Calibri"/>
        </w:rPr>
        <w:t>Mixed-Use Project Area</w:t>
      </w:r>
      <w:r>
        <w:t xml:space="preserve"> as set forth in the Redevelopment Agreement and Redevelopment Plan will be beneficial to the overall community; will achieve the goals and objectives of the Redevelopment Plan; will help revitalize the </w:t>
      </w:r>
      <w:r w:rsidR="00C7439B">
        <w:t>Redevelopment Area</w:t>
      </w:r>
      <w:r>
        <w:t xml:space="preserve">; will improve the quality of life for the community; will serve as a catalyst for further private investment in areas surrounding the </w:t>
      </w:r>
      <w:r w:rsidR="00A04735" w:rsidRPr="004A7B4E">
        <w:rPr>
          <w:rFonts w:eastAsia="Calibri"/>
        </w:rPr>
        <w:t>Mixed-Use Project Area</w:t>
      </w:r>
      <w:r>
        <w:t xml:space="preserve"> and will enhance the economic development of the </w:t>
      </w:r>
      <w:r w:rsidR="00717B6F">
        <w:t>Town</w:t>
      </w:r>
      <w:r>
        <w:t xml:space="preserve">. </w:t>
      </w:r>
      <w:r w:rsidR="00A04735">
        <w:t xml:space="preserve"> </w:t>
      </w:r>
    </w:p>
    <w:p w14:paraId="699A3ECC" w14:textId="77777777" w:rsidR="00746A79" w:rsidRDefault="00746A79" w:rsidP="00C26389">
      <w:pPr>
        <w:pStyle w:val="ListParagraph"/>
        <w:ind w:left="1080"/>
      </w:pPr>
    </w:p>
    <w:p w14:paraId="7EFE5AB6" w14:textId="28886496" w:rsidR="00746A79" w:rsidRDefault="00D25AAE" w:rsidP="00C26389">
      <w:pPr>
        <w:pStyle w:val="ListParagraph"/>
        <w:numPr>
          <w:ilvl w:val="1"/>
          <w:numId w:val="1"/>
        </w:numPr>
        <w:ind w:left="1080"/>
      </w:pPr>
      <w:r>
        <w:t xml:space="preserve">It is anticipated that the development of the </w:t>
      </w:r>
      <w:r w:rsidR="00A04735" w:rsidRPr="004A7B4E">
        <w:rPr>
          <w:rFonts w:eastAsia="Calibri"/>
        </w:rPr>
        <w:t xml:space="preserve">Mixed-Use Project Area </w:t>
      </w:r>
      <w:r>
        <w:t xml:space="preserve">will create approximately </w:t>
      </w:r>
      <w:r w:rsidR="00717B6F">
        <w:t>50-75</w:t>
      </w:r>
      <w:r>
        <w:t xml:space="preserve"> construction jobs over the duration of the construction, as well as 1</w:t>
      </w:r>
      <w:r w:rsidR="00717B6F">
        <w:t>0-15</w:t>
      </w:r>
      <w:r>
        <w:t xml:space="preserve"> full-time permanent jobs in connection with the </w:t>
      </w:r>
      <w:r w:rsidR="00A04735" w:rsidRPr="004A7B4E">
        <w:rPr>
          <w:rFonts w:eastAsia="Calibri"/>
        </w:rPr>
        <w:t>Mixed-Use Project Area</w:t>
      </w:r>
      <w:r>
        <w:t xml:space="preserve">. </w:t>
      </w:r>
      <w:r w:rsidR="00A04735">
        <w:t xml:space="preserve"> </w:t>
      </w:r>
    </w:p>
    <w:p w14:paraId="7EEAEF1A" w14:textId="77777777" w:rsidR="00746A79" w:rsidRDefault="00746A79" w:rsidP="00C26389">
      <w:pPr>
        <w:pStyle w:val="ListParagraph"/>
      </w:pPr>
    </w:p>
    <w:p w14:paraId="0D46EF35" w14:textId="2534C6E9" w:rsidR="00903FDA" w:rsidRDefault="00D25AAE" w:rsidP="00C26389">
      <w:pPr>
        <w:pStyle w:val="ListParagraph"/>
        <w:numPr>
          <w:ilvl w:val="1"/>
          <w:numId w:val="1"/>
        </w:numPr>
        <w:ind w:left="1080"/>
      </w:pPr>
      <w:r>
        <w:t>In 2021, the Property</w:t>
      </w:r>
      <w:r w:rsidR="00717B6F" w:rsidRPr="00717B6F">
        <w:rPr>
          <w:rFonts w:eastAsia="Times New Roman"/>
        </w:rPr>
        <w:t xml:space="preserve"> </w:t>
      </w:r>
      <w:r w:rsidR="00717B6F">
        <w:rPr>
          <w:rFonts w:eastAsia="Times New Roman"/>
        </w:rPr>
        <w:t xml:space="preserve">generated </w:t>
      </w:r>
      <w:r w:rsidR="00717B6F" w:rsidRPr="0084377C">
        <w:t>$</w:t>
      </w:r>
      <w:r w:rsidR="00717B6F">
        <w:t>73,523.98</w:t>
      </w:r>
      <w:r w:rsidR="0084050D">
        <w:t xml:space="preserve">, of which, approximately one-third, </w:t>
      </w:r>
      <w:r w:rsidR="0084050D" w:rsidRPr="00954AF2">
        <w:rPr>
          <w:rFonts w:eastAsia="Times New Roman"/>
        </w:rPr>
        <w:t>$</w:t>
      </w:r>
      <w:r w:rsidR="0084050D">
        <w:rPr>
          <w:rFonts w:eastAsia="Times New Roman"/>
        </w:rPr>
        <w:t>24</w:t>
      </w:r>
      <w:r w:rsidR="0084050D">
        <w:t xml:space="preserve">,507.99, can be attributed to the </w:t>
      </w:r>
      <w:r w:rsidR="0084050D" w:rsidRPr="005702BB">
        <w:t>Mixed-Use Project Area</w:t>
      </w:r>
      <w:r w:rsidR="0084050D">
        <w:t xml:space="preserve">. The Town received approximately 22% </w:t>
      </w:r>
      <w:r w:rsidR="0084050D" w:rsidRPr="00954AF2">
        <w:rPr>
          <w:rFonts w:eastAsia="Times New Roman"/>
        </w:rPr>
        <w:t xml:space="preserve">share of </w:t>
      </w:r>
      <w:r w:rsidR="0084050D">
        <w:rPr>
          <w:rFonts w:eastAsia="Times New Roman"/>
        </w:rPr>
        <w:t>the tax revenue generated from the Project Area</w:t>
      </w:r>
      <w:r w:rsidR="0084050D" w:rsidRPr="00954AF2">
        <w:rPr>
          <w:rFonts w:eastAsia="Times New Roman"/>
        </w:rPr>
        <w:t>.</w:t>
      </w:r>
      <w:r w:rsidR="0084050D">
        <w:rPr>
          <w:rFonts w:eastAsia="Times New Roman"/>
        </w:rPr>
        <w:t xml:space="preserve"> Conversely,</w:t>
      </w:r>
      <w:r w:rsidR="0084050D" w:rsidRPr="00954AF2">
        <w:rPr>
          <w:rFonts w:eastAsia="Times New Roman"/>
        </w:rPr>
        <w:t xml:space="preserve"> </w:t>
      </w:r>
      <w:r w:rsidR="0084050D">
        <w:rPr>
          <w:rFonts w:eastAsia="Times New Roman"/>
        </w:rPr>
        <w:t>p</w:t>
      </w:r>
      <w:r w:rsidR="0084050D" w:rsidRPr="00954AF2">
        <w:rPr>
          <w:rFonts w:eastAsia="Times New Roman"/>
        </w:rPr>
        <w:t>ursuant to this Financial Agreement,</w:t>
      </w:r>
      <w:r w:rsidR="0084050D">
        <w:rPr>
          <w:rFonts w:eastAsia="Times New Roman"/>
        </w:rPr>
        <w:t xml:space="preserve"> the Town will receive 95% of the Annual Service Charge paid by the Redeveloper. Accordingly,</w:t>
      </w:r>
      <w:r w:rsidR="0084050D" w:rsidRPr="00954AF2">
        <w:rPr>
          <w:rFonts w:eastAsia="Times New Roman"/>
        </w:rPr>
        <w:t xml:space="preserve"> the </w:t>
      </w:r>
      <w:r w:rsidR="0084050D">
        <w:rPr>
          <w:rFonts w:eastAsia="Times New Roman"/>
        </w:rPr>
        <w:t>Mixed-Use Project Area, once fully leased,</w:t>
      </w:r>
      <w:r w:rsidR="0084050D" w:rsidRPr="00954AF2">
        <w:rPr>
          <w:rFonts w:eastAsia="Times New Roman"/>
        </w:rPr>
        <w:t xml:space="preserve"> is projected to generate</w:t>
      </w:r>
      <w:r w:rsidR="0084050D">
        <w:rPr>
          <w:rFonts w:eastAsia="Times New Roman"/>
        </w:rPr>
        <w:t>, over the term of this Financial Agreement,</w:t>
      </w:r>
      <w:r w:rsidR="0084050D" w:rsidRPr="00954AF2">
        <w:rPr>
          <w:rFonts w:eastAsia="Times New Roman"/>
        </w:rPr>
        <w:t xml:space="preserve"> </w:t>
      </w:r>
      <w:r w:rsidR="0084050D">
        <w:rPr>
          <w:rFonts w:eastAsia="Times New Roman"/>
        </w:rPr>
        <w:t>a net municipal benefit of</w:t>
      </w:r>
      <w:r w:rsidR="0084050D" w:rsidRPr="00954AF2">
        <w:rPr>
          <w:rFonts w:eastAsia="Times New Roman"/>
        </w:rPr>
        <w:t xml:space="preserve"> </w:t>
      </w:r>
      <w:r w:rsidR="0084050D">
        <w:rPr>
          <w:rFonts w:eastAsia="Times New Roman"/>
        </w:rPr>
        <w:t xml:space="preserve">$568,591.00 over the ad valorem tax the Town would expect to receive through uniform taxation of the Mixed-Use Project Area.  </w:t>
      </w:r>
    </w:p>
    <w:p w14:paraId="0B4F29AC" w14:textId="77777777" w:rsidR="00746A79" w:rsidRDefault="00746A79" w:rsidP="00C26389"/>
    <w:p w14:paraId="552FE8F2" w14:textId="2FAF3DE9" w:rsidR="00746A79" w:rsidRDefault="00D25AAE" w:rsidP="00C26389">
      <w:pPr>
        <w:pStyle w:val="ListParagraph"/>
        <w:numPr>
          <w:ilvl w:val="0"/>
          <w:numId w:val="1"/>
        </w:numPr>
      </w:pPr>
      <w:r w:rsidRPr="00746A79">
        <w:rPr>
          <w:b/>
          <w:bCs/>
        </w:rPr>
        <w:t>Importance of Long-Term Tax Exemption</w:t>
      </w:r>
      <w:r>
        <w:t>.</w:t>
      </w:r>
    </w:p>
    <w:p w14:paraId="22DD84A1" w14:textId="77777777" w:rsidR="00746A79" w:rsidRDefault="00746A79" w:rsidP="00C26389"/>
    <w:p w14:paraId="058047E5" w14:textId="77751687" w:rsidR="00960D54" w:rsidRPr="00960D54" w:rsidRDefault="00D25AAE" w:rsidP="00C26389">
      <w:pPr>
        <w:pStyle w:val="ListParagraph"/>
        <w:numPr>
          <w:ilvl w:val="1"/>
          <w:numId w:val="1"/>
        </w:numPr>
        <w:ind w:left="1080"/>
        <w:rPr>
          <w:rFonts w:eastAsia="Times New Roman"/>
          <w:color w:val="000000"/>
        </w:rPr>
      </w:pPr>
      <w:r w:rsidRPr="00960D54">
        <w:rPr>
          <w:rFonts w:eastAsia="Times New Roman"/>
        </w:rPr>
        <w:t xml:space="preserve">The relative stability and predictability of the Annual Service Charge is a critical component to the ongoing viability of the operation of the </w:t>
      </w:r>
      <w:r w:rsidR="00A04735" w:rsidRPr="004A7B4E">
        <w:rPr>
          <w:rFonts w:eastAsia="Calibri"/>
        </w:rPr>
        <w:t>Mixed-Use Project Area</w:t>
      </w:r>
      <w:r w:rsidRPr="00960D54">
        <w:rPr>
          <w:rFonts w:eastAsia="Times New Roman"/>
        </w:rPr>
        <w:t xml:space="preserve">. By extension, the ability of the Entity to attract the necessary debt and equity to undertake </w:t>
      </w:r>
      <w:r w:rsidRPr="00960D54">
        <w:rPr>
          <w:rFonts w:eastAsia="Times New Roman"/>
        </w:rPr>
        <w:lastRenderedPageBreak/>
        <w:t xml:space="preserve">and finance the </w:t>
      </w:r>
      <w:r w:rsidR="00A04735" w:rsidRPr="004A7B4E">
        <w:rPr>
          <w:rFonts w:eastAsia="Calibri"/>
        </w:rPr>
        <w:t>Mixed-Use Project Area</w:t>
      </w:r>
      <w:r w:rsidRPr="00960D54">
        <w:rPr>
          <w:rFonts w:eastAsia="Times New Roman"/>
        </w:rPr>
        <w:t xml:space="preserve"> relies upon the ability to achieve financial stabilization; and</w:t>
      </w:r>
    </w:p>
    <w:p w14:paraId="7423CE3B" w14:textId="77777777" w:rsidR="00960D54" w:rsidRPr="00960D54" w:rsidRDefault="00960D54" w:rsidP="00C26389">
      <w:pPr>
        <w:pStyle w:val="ListParagraph"/>
        <w:ind w:left="1080"/>
        <w:rPr>
          <w:rFonts w:eastAsia="Times New Roman"/>
          <w:color w:val="000000"/>
        </w:rPr>
      </w:pPr>
    </w:p>
    <w:p w14:paraId="38D8845D" w14:textId="233565F3" w:rsidR="00960D54" w:rsidRPr="00960D54" w:rsidRDefault="00D25AAE" w:rsidP="00C26389">
      <w:pPr>
        <w:pStyle w:val="ListParagraph"/>
        <w:numPr>
          <w:ilvl w:val="1"/>
          <w:numId w:val="1"/>
        </w:numPr>
        <w:ind w:left="1080"/>
        <w:rPr>
          <w:rFonts w:eastAsia="Times New Roman"/>
          <w:color w:val="000000"/>
        </w:rPr>
      </w:pPr>
      <w:r w:rsidRPr="00960D54">
        <w:rPr>
          <w:rFonts w:eastAsia="Times New Roman"/>
          <w:color w:val="000000"/>
        </w:rPr>
        <w:t xml:space="preserve">The construction of the Mixed-Use Project Area will require significant capital investment and is estimated to cost approximately $11,785,384.00. Without relief from the obligation to pay full real estate taxes, the </w:t>
      </w:r>
      <w:r w:rsidR="00E50A8B">
        <w:rPr>
          <w:rFonts w:eastAsia="Times New Roman"/>
          <w:color w:val="000000"/>
        </w:rPr>
        <w:t>p</w:t>
      </w:r>
      <w:r w:rsidRPr="00960D54">
        <w:rPr>
          <w:rFonts w:eastAsia="Times New Roman"/>
          <w:color w:val="000000"/>
        </w:rPr>
        <w:t>roject cannot achieve financial stabilization.</w:t>
      </w:r>
    </w:p>
    <w:p w14:paraId="5344F9C1" w14:textId="182E425F" w:rsidR="0084050D" w:rsidRDefault="0084050D" w:rsidP="00C26389"/>
    <w:p w14:paraId="7EACB2DC" w14:textId="6FCB713E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despite the Redeveloper’s investment of equity and borrowed funds, such </w:t>
      </w:r>
    </w:p>
    <w:p w14:paraId="42569E14" w14:textId="31D81345" w:rsidR="00903FDA" w:rsidRDefault="00D25AAE" w:rsidP="00C26389">
      <w:r>
        <w:t xml:space="preserve">amounts are insufficient to pay for all of the costs associated with the </w:t>
      </w:r>
      <w:r w:rsidR="00E50A8B" w:rsidRPr="004A7B4E">
        <w:rPr>
          <w:rFonts w:eastAsia="Calibri"/>
        </w:rPr>
        <w:t>Mixed-Use Project Area</w:t>
      </w:r>
      <w:r>
        <w:t>; and</w:t>
      </w:r>
    </w:p>
    <w:p w14:paraId="0918AFBD" w14:textId="77777777" w:rsidR="0084050D" w:rsidRDefault="0084050D" w:rsidP="00C26389">
      <w:pPr>
        <w:ind w:firstLine="720"/>
        <w:rPr>
          <w:b/>
        </w:rPr>
      </w:pPr>
    </w:p>
    <w:p w14:paraId="2D14E52B" w14:textId="071953F4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the provisions of the Long</w:t>
      </w:r>
      <w:r w:rsidR="007C0D14">
        <w:t>-</w:t>
      </w:r>
      <w:r>
        <w:t xml:space="preserve">Term Tax Exemption Law authorize the </w:t>
      </w:r>
      <w:r w:rsidR="007C0D14">
        <w:t>Town</w:t>
      </w:r>
      <w:r>
        <w:t xml:space="preserve"> to accept, in lieu of real property taxes, an Annual Service Charge paid by the Redeveloper to the </w:t>
      </w:r>
      <w:r w:rsidR="007C0D14">
        <w:t>Town</w:t>
      </w:r>
      <w:r>
        <w:t>; and</w:t>
      </w:r>
    </w:p>
    <w:p w14:paraId="7DD0ACA0" w14:textId="77777777" w:rsidR="0084050D" w:rsidRDefault="0084050D" w:rsidP="00C26389">
      <w:pPr>
        <w:rPr>
          <w:b/>
        </w:rPr>
      </w:pPr>
    </w:p>
    <w:p w14:paraId="15A86D1A" w14:textId="131A94F1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the Redeveloper has agreed to make payment of the Annual Service Charge </w:t>
      </w:r>
    </w:p>
    <w:p w14:paraId="796E470C" w14:textId="2E302F5A" w:rsidR="00903FDA" w:rsidRDefault="00D25AAE" w:rsidP="00C26389">
      <w:r>
        <w:t xml:space="preserve">and Administrative Fee to the </w:t>
      </w:r>
      <w:r w:rsidR="007C0D14">
        <w:t>Town</w:t>
      </w:r>
      <w:r>
        <w:t>; and</w:t>
      </w:r>
    </w:p>
    <w:p w14:paraId="207D0602" w14:textId="77777777" w:rsidR="0084050D" w:rsidRDefault="0084050D" w:rsidP="00C26389">
      <w:pPr>
        <w:rPr>
          <w:b/>
        </w:rPr>
      </w:pPr>
    </w:p>
    <w:p w14:paraId="23E8EE64" w14:textId="71B66711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the </w:t>
      </w:r>
      <w:r w:rsidR="00E50A8B" w:rsidRPr="004A7B4E">
        <w:rPr>
          <w:rFonts w:eastAsia="Calibri"/>
        </w:rPr>
        <w:t>Mixed-Use Project Area</w:t>
      </w:r>
      <w:r>
        <w:t xml:space="preserve"> will conform to all applicable municipal zoning ordinances as</w:t>
      </w:r>
      <w:r w:rsidR="00E50A8B">
        <w:t xml:space="preserve"> </w:t>
      </w:r>
      <w:r>
        <w:t xml:space="preserve">amended by the Redevelopment Plan and will be in conformance with the master plan of the </w:t>
      </w:r>
      <w:r w:rsidR="007C0D14">
        <w:t>Town</w:t>
      </w:r>
      <w:r>
        <w:t>; and</w:t>
      </w:r>
    </w:p>
    <w:p w14:paraId="2623358A" w14:textId="77777777" w:rsidR="0084050D" w:rsidRDefault="0084050D" w:rsidP="00C26389">
      <w:pPr>
        <w:rPr>
          <w:b/>
        </w:rPr>
      </w:pPr>
    </w:p>
    <w:p w14:paraId="42A69615" w14:textId="5E6A694C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in order to enhance the economic viability of and opportunity for a successful project, the </w:t>
      </w:r>
      <w:r w:rsidR="007C0D14">
        <w:t>Town</w:t>
      </w:r>
      <w:r>
        <w:t xml:space="preserve"> seeks to enter into the Financial Agreement, in the form attached hereto as Exhibit</w:t>
      </w:r>
      <w:r w:rsidR="007C0D14">
        <w:t xml:space="preserve"> </w:t>
      </w:r>
      <w:r>
        <w:t xml:space="preserve">A, which shall govern the terms of the tax exemption for the </w:t>
      </w:r>
      <w:r w:rsidR="00E50A8B" w:rsidRPr="004A7B4E">
        <w:rPr>
          <w:rFonts w:eastAsia="Calibri"/>
        </w:rPr>
        <w:t>Mixed-Use Project Area</w:t>
      </w:r>
      <w:r>
        <w:t xml:space="preserve"> and the Annual Service Charge</w:t>
      </w:r>
      <w:r w:rsidR="007C0D14">
        <w:t xml:space="preserve"> </w:t>
      </w:r>
      <w:r>
        <w:t xml:space="preserve">to be paid to the </w:t>
      </w:r>
      <w:r w:rsidR="007C0D14">
        <w:t>Town</w:t>
      </w:r>
      <w:r>
        <w:t xml:space="preserve"> in lieu of conventional taxation; and</w:t>
      </w:r>
    </w:p>
    <w:p w14:paraId="68166DD2" w14:textId="77777777" w:rsidR="0084050D" w:rsidRDefault="0084050D" w:rsidP="00C26389">
      <w:pPr>
        <w:rPr>
          <w:b/>
        </w:rPr>
      </w:pPr>
    </w:p>
    <w:p w14:paraId="521341C0" w14:textId="46B0F2B0" w:rsidR="00903FDA" w:rsidRDefault="00D25AAE" w:rsidP="00C26389">
      <w:pPr>
        <w:ind w:firstLine="720"/>
      </w:pPr>
      <w:r w:rsidRPr="004A7B4E">
        <w:rPr>
          <w:b/>
        </w:rPr>
        <w:t>WHEREAS</w:t>
      </w:r>
      <w:r w:rsidRPr="004A7B4E">
        <w:t>,</w:t>
      </w:r>
      <w:r>
        <w:t xml:space="preserve"> the Governing Body has determined that the </w:t>
      </w:r>
      <w:r w:rsidR="00E50A8B" w:rsidRPr="004A7B4E">
        <w:rPr>
          <w:rFonts w:eastAsia="Calibri"/>
        </w:rPr>
        <w:t>Mixed-Use Project Area</w:t>
      </w:r>
      <w:r>
        <w:t xml:space="preserve"> represents an</w:t>
      </w:r>
      <w:r w:rsidR="00E50A8B">
        <w:t xml:space="preserve"> </w:t>
      </w:r>
      <w:r>
        <w:t xml:space="preserve">undertaking permitted by the </w:t>
      </w:r>
      <w:r w:rsidR="00C7439B">
        <w:t>LTTEL</w:t>
      </w:r>
      <w:r w:rsidR="00190CF7">
        <w:t xml:space="preserve"> and</w:t>
      </w:r>
      <w:r>
        <w:t xml:space="preserve"> has further determined that</w:t>
      </w:r>
      <w:r w:rsidR="00E50A8B">
        <w:t xml:space="preserve"> </w:t>
      </w:r>
      <w:r>
        <w:t>the improvement</w:t>
      </w:r>
      <w:r w:rsidR="007C0D14">
        <w:t>s are</w:t>
      </w:r>
      <w:r>
        <w:t xml:space="preserve"> made for the purposes of clearance, replanning, development or</w:t>
      </w:r>
      <w:r w:rsidR="00E50A8B">
        <w:t xml:space="preserve"> </w:t>
      </w:r>
      <w:r>
        <w:t xml:space="preserve">redevelopment of an area in need of redevelopment within the </w:t>
      </w:r>
      <w:r w:rsidR="007C0D14">
        <w:t>Town</w:t>
      </w:r>
      <w:r>
        <w:t xml:space="preserve">, as authorized by the </w:t>
      </w:r>
      <w:r w:rsidR="00EE29A1">
        <w:t>LTTEL</w:t>
      </w:r>
      <w:r w:rsidR="007C0D14">
        <w:t>.</w:t>
      </w:r>
      <w:r>
        <w:t xml:space="preserve"> </w:t>
      </w:r>
    </w:p>
    <w:p w14:paraId="2D153880" w14:textId="77777777" w:rsidR="0084050D" w:rsidRDefault="0084050D" w:rsidP="00C26389">
      <w:pPr>
        <w:rPr>
          <w:b/>
        </w:rPr>
      </w:pPr>
    </w:p>
    <w:p w14:paraId="7B1C120D" w14:textId="377A6278" w:rsidR="0084050D" w:rsidRDefault="00D25AAE" w:rsidP="00C26389">
      <w:pPr>
        <w:ind w:firstLine="720"/>
      </w:pPr>
      <w:r w:rsidRPr="00541617">
        <w:rPr>
          <w:b/>
        </w:rPr>
        <w:t>NOW, THEREFORE, BE IT RESOLVED</w:t>
      </w:r>
      <w:r w:rsidRPr="00541617">
        <w:t xml:space="preserve"> by the Council of the Town of Hackettstown, County of Warren, and State of New Jersey,</w:t>
      </w:r>
      <w:r w:rsidR="007C0D14">
        <w:t xml:space="preserve"> as follows:</w:t>
      </w:r>
    </w:p>
    <w:p w14:paraId="3FBBE269" w14:textId="77777777" w:rsidR="00960D54" w:rsidRDefault="00960D54" w:rsidP="00C26389"/>
    <w:p w14:paraId="00435991" w14:textId="6548E967" w:rsidR="00903FDA" w:rsidRDefault="00D25AAE" w:rsidP="00C26389">
      <w:pPr>
        <w:pStyle w:val="ListParagraph"/>
        <w:numPr>
          <w:ilvl w:val="0"/>
          <w:numId w:val="3"/>
        </w:numPr>
      </w:pPr>
      <w:r>
        <w:t xml:space="preserve">An exemption from taxation as set forth in the Application is hereby granted to the </w:t>
      </w:r>
    </w:p>
    <w:p w14:paraId="551B30BD" w14:textId="4979DCAB" w:rsidR="00960D54" w:rsidRDefault="00D25AAE" w:rsidP="00C26389">
      <w:r>
        <w:t xml:space="preserve">Redeveloper, with respect to the </w:t>
      </w:r>
      <w:r w:rsidR="00E50A8B" w:rsidRPr="004A7B4E">
        <w:rPr>
          <w:rFonts w:eastAsia="Calibri"/>
        </w:rPr>
        <w:t>Mixed-Use Project Area</w:t>
      </w:r>
      <w:r>
        <w:t xml:space="preserve"> </w:t>
      </w:r>
      <w:r w:rsidR="00EE29A1">
        <w:t>located within the</w:t>
      </w:r>
      <w:r>
        <w:t xml:space="preserve"> </w:t>
      </w:r>
      <w:r w:rsidR="00E50A8B">
        <w:t>Redevelopment Area</w:t>
      </w:r>
      <w:r w:rsidR="00EE29A1">
        <w:t>,</w:t>
      </w:r>
      <w:r>
        <w:t xml:space="preserve"> </w:t>
      </w:r>
      <w:r w:rsidR="00EE29A1">
        <w:t>on the terms</w:t>
      </w:r>
      <w:r>
        <w:t xml:space="preserve"> set forth in the Financial</w:t>
      </w:r>
      <w:r w:rsidR="00E50A8B">
        <w:t xml:space="preserve"> </w:t>
      </w:r>
      <w:r>
        <w:t xml:space="preserve">Agreement. The land underlying the </w:t>
      </w:r>
      <w:r w:rsidR="00E50A8B" w:rsidRPr="004A7B4E">
        <w:rPr>
          <w:rFonts w:eastAsia="Calibri"/>
        </w:rPr>
        <w:t>Mixed-Use Project Area</w:t>
      </w:r>
      <w:r>
        <w:t xml:space="preserve"> shall also be exempt from Land Taxes (as defined in</w:t>
      </w:r>
      <w:r w:rsidR="00E50A8B">
        <w:t xml:space="preserve"> </w:t>
      </w:r>
      <w:r>
        <w:t>the Financial Agreement); provided that in no event shall the tax exemption exceed the earlier of</w:t>
      </w:r>
      <w:r w:rsidR="00A04735">
        <w:t xml:space="preserve"> </w:t>
      </w:r>
      <w:r>
        <w:t xml:space="preserve">thirty-five (35) years from the date of execution of the Financial Agreement or (ii) to the extent permitted by </w:t>
      </w:r>
      <w:r w:rsidRPr="00EE29A1">
        <w:rPr>
          <w:i/>
          <w:iCs/>
        </w:rPr>
        <w:t>N.J.S.A.</w:t>
      </w:r>
      <w:r>
        <w:t xml:space="preserve"> 40A:20-12, thirty (30) years from the Redeveloper’s receipt of a Certificate of Occupancy for the </w:t>
      </w:r>
      <w:r w:rsidR="00EE29A1" w:rsidRPr="004A7B4E">
        <w:rPr>
          <w:rFonts w:eastAsia="Calibri"/>
        </w:rPr>
        <w:t>Mixed-Use Project Area</w:t>
      </w:r>
      <w:r>
        <w:t xml:space="preserve"> and only so long as the Redeveloper remains subject to and complies with the Financial Agreement and the </w:t>
      </w:r>
      <w:r w:rsidR="00EE29A1">
        <w:t>LTTEL</w:t>
      </w:r>
      <w:r>
        <w:t xml:space="preserve"> and any other agreement related to the </w:t>
      </w:r>
      <w:r w:rsidR="00EE29A1" w:rsidRPr="004A7B4E">
        <w:rPr>
          <w:rFonts w:eastAsia="Calibri"/>
        </w:rPr>
        <w:t>Mixed-Use Project Area</w:t>
      </w:r>
      <w:r>
        <w:t xml:space="preserve">; and provided further, that in no event shall the Annual Service Charge, for every year the property tax </w:t>
      </w:r>
      <w:r>
        <w:lastRenderedPageBreak/>
        <w:t xml:space="preserve">exemption is in effect, be less than the total taxes levied against the </w:t>
      </w:r>
      <w:r w:rsidR="00EE29A1" w:rsidRPr="004A7B4E">
        <w:rPr>
          <w:rFonts w:eastAsia="Calibri"/>
        </w:rPr>
        <w:t>Mixed-Use Project Area</w:t>
      </w:r>
      <w:r w:rsidR="00EE29A1">
        <w:rPr>
          <w:rFonts w:eastAsia="Calibri"/>
        </w:rPr>
        <w:t>, as provided for the Financial Agreement,</w:t>
      </w:r>
      <w:r>
        <w:t xml:space="preserve"> in the last full tax year it was subject to taxation.</w:t>
      </w:r>
      <w:r w:rsidR="00EE29A1">
        <w:t xml:space="preserve">  </w:t>
      </w:r>
    </w:p>
    <w:p w14:paraId="6B642C1A" w14:textId="77777777" w:rsidR="00960D54" w:rsidRDefault="00960D54" w:rsidP="00C26389">
      <w:pPr>
        <w:ind w:firstLine="360"/>
      </w:pPr>
    </w:p>
    <w:p w14:paraId="1671D039" w14:textId="14E0CA93" w:rsidR="00960D54" w:rsidRDefault="00D25AAE" w:rsidP="00C26389">
      <w:pPr>
        <w:pStyle w:val="ListParagraph"/>
        <w:numPr>
          <w:ilvl w:val="0"/>
          <w:numId w:val="3"/>
        </w:numPr>
        <w:ind w:left="0" w:firstLine="360"/>
      </w:pPr>
      <w:r>
        <w:t>The Mayor</w:t>
      </w:r>
      <w:r w:rsidR="00C1733E">
        <w:t xml:space="preserve"> </w:t>
      </w:r>
      <w:r w:rsidR="00C1733E" w:rsidRPr="005B3339">
        <w:t>and Town Clerk</w:t>
      </w:r>
      <w:r w:rsidR="00C1733E">
        <w:t xml:space="preserve"> are hereby authorized to execute, on behalf of the Town, the </w:t>
      </w:r>
      <w:r w:rsidR="00EE29A1">
        <w:t>Financial</w:t>
      </w:r>
      <w:r w:rsidR="00C1733E">
        <w:t xml:space="preserve"> Agreement in substantially the form annexed hereto as Exhibit “A”,</w:t>
      </w:r>
      <w:r>
        <w:t xml:space="preserve"> and any other agreements or documents necessary to</w:t>
      </w:r>
      <w:r w:rsidR="00C1733E">
        <w:t xml:space="preserve"> </w:t>
      </w:r>
      <w:r>
        <w:t xml:space="preserve">effectuate this ordinance and the Financial Agreement. </w:t>
      </w:r>
    </w:p>
    <w:p w14:paraId="416D488E" w14:textId="77777777" w:rsidR="00960D54" w:rsidRDefault="00960D54" w:rsidP="00C26389">
      <w:pPr>
        <w:ind w:firstLine="360"/>
      </w:pPr>
    </w:p>
    <w:p w14:paraId="5B7B36F7" w14:textId="49FCFD7D" w:rsidR="00960D54" w:rsidRDefault="00D25AAE" w:rsidP="00C26389">
      <w:pPr>
        <w:pStyle w:val="ListParagraph"/>
        <w:numPr>
          <w:ilvl w:val="0"/>
          <w:numId w:val="3"/>
        </w:numPr>
        <w:ind w:left="0" w:firstLine="360"/>
      </w:pPr>
      <w:r>
        <w:t>The executed copy of the Financial Agreement and this ordinance shall be certified</w:t>
      </w:r>
      <w:r w:rsidR="00C1733E">
        <w:t xml:space="preserve"> </w:t>
      </w:r>
      <w:r>
        <w:t xml:space="preserve">by the </w:t>
      </w:r>
      <w:r w:rsidR="007C0D14">
        <w:t>Town</w:t>
      </w:r>
      <w:r>
        <w:t xml:space="preserve"> Clerk and filed with the Tax Assessor for the </w:t>
      </w:r>
      <w:r w:rsidR="007C0D14">
        <w:t>Town</w:t>
      </w:r>
      <w:r>
        <w:t xml:space="preserve"> and the Director of the</w:t>
      </w:r>
      <w:r w:rsidR="00C1733E">
        <w:t xml:space="preserve"> </w:t>
      </w:r>
      <w:r>
        <w:t>Division of Local Government Services.</w:t>
      </w:r>
    </w:p>
    <w:p w14:paraId="3C76DF58" w14:textId="77777777" w:rsidR="00960D54" w:rsidRDefault="00960D54" w:rsidP="00C26389">
      <w:pPr>
        <w:ind w:firstLine="360"/>
      </w:pPr>
    </w:p>
    <w:p w14:paraId="1FCE0734" w14:textId="42AC1A91" w:rsidR="00903FDA" w:rsidRDefault="00D25AAE" w:rsidP="00C26389">
      <w:pPr>
        <w:pStyle w:val="ListParagraph"/>
        <w:numPr>
          <w:ilvl w:val="0"/>
          <w:numId w:val="3"/>
        </w:numPr>
        <w:ind w:left="0" w:firstLine="360"/>
      </w:pPr>
      <w:r>
        <w:t>The Project shall conform to all federal and state law and ordinances and</w:t>
      </w:r>
      <w:r w:rsidR="00C1733E">
        <w:t xml:space="preserve"> </w:t>
      </w:r>
      <w:r>
        <w:t xml:space="preserve">regulations of the </w:t>
      </w:r>
      <w:r w:rsidR="007C0D14">
        <w:t>Town</w:t>
      </w:r>
      <w:r>
        <w:t xml:space="preserve"> relating to its construction and use, including the Redevelopment Plan.</w:t>
      </w:r>
    </w:p>
    <w:p w14:paraId="40107995" w14:textId="77777777" w:rsidR="00960D54" w:rsidRDefault="00960D54" w:rsidP="00C26389">
      <w:pPr>
        <w:ind w:firstLine="360"/>
      </w:pPr>
    </w:p>
    <w:p w14:paraId="4B235651" w14:textId="76BD15C5" w:rsidR="00903FDA" w:rsidRDefault="00D25AAE" w:rsidP="00C26389">
      <w:pPr>
        <w:pStyle w:val="ListParagraph"/>
        <w:numPr>
          <w:ilvl w:val="0"/>
          <w:numId w:val="3"/>
        </w:numPr>
        <w:ind w:left="0" w:firstLine="360"/>
      </w:pPr>
      <w:r>
        <w:t>The Redeveloper shall comply with all laws so that no person because of race,</w:t>
      </w:r>
      <w:r w:rsidR="00C1733E">
        <w:t xml:space="preserve"> </w:t>
      </w:r>
      <w:r>
        <w:t>religious principles, color, national origin or ancestry, will be subject to discrimination.</w:t>
      </w:r>
    </w:p>
    <w:p w14:paraId="4C54F54E" w14:textId="77777777" w:rsidR="00960D54" w:rsidRDefault="00960D54" w:rsidP="00C26389">
      <w:pPr>
        <w:ind w:firstLine="360"/>
      </w:pPr>
    </w:p>
    <w:p w14:paraId="69AA5DB7" w14:textId="077DCA65" w:rsidR="00903FDA" w:rsidRDefault="00D25AAE" w:rsidP="00C26389">
      <w:pPr>
        <w:pStyle w:val="ListParagraph"/>
        <w:numPr>
          <w:ilvl w:val="0"/>
          <w:numId w:val="3"/>
        </w:numPr>
        <w:ind w:left="0" w:firstLine="360"/>
      </w:pPr>
      <w:r>
        <w:t xml:space="preserve">The Redeveloper shall, from the time the Annual Service Charge becomes effective, pay the Annual Service Charge as set forth in the Financial Agreement. </w:t>
      </w:r>
    </w:p>
    <w:p w14:paraId="2E6C0528" w14:textId="77777777" w:rsidR="00960D54" w:rsidRDefault="00960D54" w:rsidP="00C26389">
      <w:pPr>
        <w:ind w:firstLine="360"/>
      </w:pPr>
    </w:p>
    <w:p w14:paraId="3BC1AB5E" w14:textId="62D97A51" w:rsidR="008A1EDE" w:rsidRDefault="00D25AAE" w:rsidP="00C26389">
      <w:pPr>
        <w:pStyle w:val="ListParagraph"/>
        <w:numPr>
          <w:ilvl w:val="0"/>
          <w:numId w:val="3"/>
        </w:numPr>
        <w:ind w:left="0" w:firstLine="360"/>
      </w:pPr>
      <w:r>
        <w:t>This ordinance shall take effect in accordance with all applicable laws</w:t>
      </w:r>
      <w:r w:rsidR="006176C0">
        <w:t>.</w:t>
      </w:r>
    </w:p>
    <w:p w14:paraId="5BBF4789" w14:textId="77777777" w:rsidR="006176C0" w:rsidRDefault="006176C0" w:rsidP="006176C0">
      <w:pPr>
        <w:pStyle w:val="ListParagraph"/>
      </w:pPr>
    </w:p>
    <w:p w14:paraId="5B07BC4E" w14:textId="77777777" w:rsidR="00C26389" w:rsidRPr="005B686A" w:rsidRDefault="00C26389" w:rsidP="00C26389">
      <w:pPr>
        <w:jc w:val="center"/>
      </w:pPr>
      <w:r w:rsidRPr="005B686A">
        <w:rPr>
          <w:b/>
          <w:u w:val="single"/>
        </w:rPr>
        <w:t>NOTICE</w:t>
      </w:r>
    </w:p>
    <w:p w14:paraId="52CFEED3" w14:textId="77777777" w:rsidR="00C26389" w:rsidRPr="005B686A" w:rsidRDefault="00C26389" w:rsidP="00C26389"/>
    <w:p w14:paraId="0E0A037A" w14:textId="12BDA5C5" w:rsidR="00C26389" w:rsidRPr="005B686A" w:rsidRDefault="00C26389" w:rsidP="00C26389">
      <w:r w:rsidRPr="005B686A">
        <w:t xml:space="preserve">Notice is hereby given that the aforesaid ordinance was introduced at a regular meeting of the Common Council of the Town of Hackettstown, New Jersey, held on </w:t>
      </w:r>
      <w:r>
        <w:t>March 10</w:t>
      </w:r>
      <w:r w:rsidRPr="005B686A">
        <w:t>, 20</w:t>
      </w:r>
      <w:r>
        <w:t>22</w:t>
      </w:r>
      <w:r w:rsidRPr="005B686A">
        <w:t xml:space="preserve">, and that at a regular meeting of the same to be held on </w:t>
      </w:r>
      <w:r>
        <w:t>May 12, 2022</w:t>
      </w:r>
      <w:r w:rsidRPr="005B686A">
        <w:t xml:space="preserve"> at the Municipal Building, 215 Stiger Street, Hackettstown, New Jersey, at the hour of 7:00 p.m., the said Common Council will conduct a public hearing and will consider the final passage of said ordinance.</w:t>
      </w:r>
    </w:p>
    <w:p w14:paraId="3134053C" w14:textId="77777777" w:rsidR="00C26389" w:rsidRPr="005B686A" w:rsidRDefault="00C26389" w:rsidP="00C26389"/>
    <w:p w14:paraId="33B9A531" w14:textId="77777777" w:rsidR="00C26389" w:rsidRPr="005B686A" w:rsidRDefault="00C26389" w:rsidP="00C26389">
      <w:r w:rsidRPr="005B686A">
        <w:tab/>
      </w:r>
      <w:r w:rsidRPr="005B686A">
        <w:tab/>
      </w:r>
      <w:r w:rsidRPr="005B686A">
        <w:tab/>
      </w:r>
      <w:r w:rsidRPr="005B686A">
        <w:tab/>
      </w:r>
      <w:r w:rsidRPr="005B686A">
        <w:tab/>
      </w:r>
      <w:r w:rsidRPr="005B686A">
        <w:tab/>
      </w:r>
      <w:r w:rsidRPr="005B686A">
        <w:tab/>
        <w:t>WILLIAM W. KUSTER, JR.</w:t>
      </w:r>
    </w:p>
    <w:p w14:paraId="74030CD5" w14:textId="77777777" w:rsidR="00C26389" w:rsidRDefault="00C26389" w:rsidP="00C26389">
      <w:r w:rsidRPr="005B686A">
        <w:tab/>
      </w:r>
      <w:r w:rsidRPr="005B686A">
        <w:tab/>
      </w:r>
      <w:r w:rsidRPr="005B686A">
        <w:tab/>
      </w:r>
      <w:r w:rsidRPr="005B686A">
        <w:tab/>
      </w:r>
      <w:r w:rsidRPr="005B686A">
        <w:tab/>
      </w:r>
      <w:r w:rsidRPr="005B686A">
        <w:tab/>
      </w:r>
      <w:r w:rsidRPr="005B686A">
        <w:tab/>
        <w:t>Town Clerk/Administrator</w:t>
      </w:r>
    </w:p>
    <w:p w14:paraId="341044E3" w14:textId="77777777" w:rsidR="00C26389" w:rsidRDefault="00C26389" w:rsidP="00C26389"/>
    <w:p w14:paraId="4C365748" w14:textId="5402FE77" w:rsidR="006176C0" w:rsidRDefault="006176C0" w:rsidP="006176C0">
      <w:pPr>
        <w:jc w:val="left"/>
      </w:pPr>
    </w:p>
    <w:p w14:paraId="11E910DF" w14:textId="77CB47FC" w:rsidR="006176C0" w:rsidRDefault="006176C0" w:rsidP="006176C0">
      <w:pPr>
        <w:jc w:val="left"/>
      </w:pPr>
    </w:p>
    <w:p w14:paraId="4C9574F9" w14:textId="1CB56587" w:rsidR="006176C0" w:rsidRDefault="006176C0" w:rsidP="006176C0">
      <w:pPr>
        <w:jc w:val="left"/>
      </w:pPr>
    </w:p>
    <w:p w14:paraId="7604A330" w14:textId="2AF55CA7" w:rsidR="006176C0" w:rsidRDefault="006176C0" w:rsidP="006176C0">
      <w:pPr>
        <w:jc w:val="left"/>
      </w:pPr>
    </w:p>
    <w:p w14:paraId="21F04205" w14:textId="19217B02" w:rsidR="006176C0" w:rsidRDefault="006176C0" w:rsidP="006176C0">
      <w:pPr>
        <w:jc w:val="left"/>
      </w:pPr>
    </w:p>
    <w:p w14:paraId="3478B041" w14:textId="150E6DC1" w:rsidR="006176C0" w:rsidRDefault="006176C0" w:rsidP="006176C0">
      <w:pPr>
        <w:jc w:val="left"/>
      </w:pPr>
    </w:p>
    <w:p w14:paraId="65954B2B" w14:textId="2B71AA75" w:rsidR="006176C0" w:rsidRDefault="006176C0" w:rsidP="006176C0">
      <w:pPr>
        <w:jc w:val="left"/>
      </w:pPr>
    </w:p>
    <w:p w14:paraId="42A50B51" w14:textId="50B000D6" w:rsidR="006176C0" w:rsidRDefault="006176C0" w:rsidP="006176C0">
      <w:pPr>
        <w:jc w:val="left"/>
      </w:pPr>
    </w:p>
    <w:p w14:paraId="0B1CE67D" w14:textId="6EC30D98" w:rsidR="006176C0" w:rsidRDefault="006176C0" w:rsidP="006176C0">
      <w:pPr>
        <w:jc w:val="left"/>
      </w:pPr>
    </w:p>
    <w:p w14:paraId="4BED654C" w14:textId="6D53EFCB" w:rsidR="006176C0" w:rsidRDefault="006176C0" w:rsidP="006176C0">
      <w:pPr>
        <w:jc w:val="left"/>
      </w:pPr>
    </w:p>
    <w:p w14:paraId="4823411F" w14:textId="0B861E34" w:rsidR="006176C0" w:rsidRDefault="006176C0" w:rsidP="006176C0">
      <w:pPr>
        <w:jc w:val="left"/>
      </w:pPr>
    </w:p>
    <w:p w14:paraId="33415F7F" w14:textId="6DF96439" w:rsidR="006176C0" w:rsidRDefault="006176C0" w:rsidP="006176C0">
      <w:pPr>
        <w:jc w:val="left"/>
      </w:pPr>
    </w:p>
    <w:p w14:paraId="1386DDCA" w14:textId="37F74442" w:rsidR="006176C0" w:rsidRDefault="006176C0" w:rsidP="006176C0">
      <w:pPr>
        <w:jc w:val="left"/>
      </w:pPr>
    </w:p>
    <w:p w14:paraId="24026275" w14:textId="0A87EB1D" w:rsidR="006176C0" w:rsidRDefault="006176C0" w:rsidP="006176C0">
      <w:pPr>
        <w:jc w:val="left"/>
      </w:pPr>
    </w:p>
    <w:p w14:paraId="1B536B63" w14:textId="1A83CF93" w:rsidR="006176C0" w:rsidRDefault="006176C0" w:rsidP="006176C0">
      <w:pPr>
        <w:jc w:val="left"/>
      </w:pPr>
    </w:p>
    <w:p w14:paraId="4DBF0541" w14:textId="34397A10" w:rsidR="006176C0" w:rsidRDefault="006176C0" w:rsidP="006176C0">
      <w:pPr>
        <w:jc w:val="left"/>
      </w:pPr>
    </w:p>
    <w:p w14:paraId="1C0C7D6C" w14:textId="77777777" w:rsidR="006176C0" w:rsidRDefault="006176C0" w:rsidP="006176C0">
      <w:pPr>
        <w:jc w:val="left"/>
      </w:pPr>
    </w:p>
    <w:p w14:paraId="6DF1DAAE" w14:textId="66BAE39D" w:rsidR="006176C0" w:rsidRDefault="006176C0" w:rsidP="006176C0">
      <w:pPr>
        <w:jc w:val="left"/>
      </w:pPr>
    </w:p>
    <w:p w14:paraId="2ABAED61" w14:textId="77777777" w:rsidR="00E764CD" w:rsidRDefault="00E764CD" w:rsidP="006176C0">
      <w:pPr>
        <w:jc w:val="left"/>
      </w:pPr>
    </w:p>
    <w:p w14:paraId="4A811611" w14:textId="55386942" w:rsidR="006176C0" w:rsidRDefault="006176C0" w:rsidP="006176C0">
      <w:pPr>
        <w:jc w:val="left"/>
      </w:pPr>
    </w:p>
    <w:p w14:paraId="64F8320C" w14:textId="77777777" w:rsidR="006176C0" w:rsidRDefault="006176C0" w:rsidP="006176C0">
      <w:pPr>
        <w:jc w:val="center"/>
        <w:rPr>
          <w:b/>
          <w:bCs/>
          <w:i/>
          <w:iCs/>
        </w:rPr>
      </w:pPr>
    </w:p>
    <w:p w14:paraId="34B39973" w14:textId="161955AB" w:rsidR="006176C0" w:rsidRPr="006A28F0" w:rsidRDefault="00D25AAE" w:rsidP="006176C0">
      <w:pPr>
        <w:jc w:val="center"/>
        <w:rPr>
          <w:b/>
          <w:bCs/>
          <w:i/>
          <w:iCs/>
        </w:rPr>
      </w:pPr>
      <w:r w:rsidRPr="006A28F0">
        <w:rPr>
          <w:b/>
          <w:bCs/>
          <w:i/>
          <w:iCs/>
        </w:rPr>
        <w:t>Exhibit A</w:t>
      </w:r>
    </w:p>
    <w:p w14:paraId="66DC83A7" w14:textId="27F52060" w:rsidR="006176C0" w:rsidRDefault="00D25AAE" w:rsidP="006176C0">
      <w:pPr>
        <w:jc w:val="center"/>
      </w:pPr>
      <w:r>
        <w:rPr>
          <w:b/>
          <w:bCs/>
        </w:rPr>
        <w:t>Financial Agreement</w:t>
      </w:r>
    </w:p>
    <w:sectPr w:rsidR="006176C0" w:rsidSect="00886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71CA" w14:textId="77777777" w:rsidR="00C504D1" w:rsidRDefault="00C504D1">
      <w:r>
        <w:separator/>
      </w:r>
    </w:p>
  </w:endnote>
  <w:endnote w:type="continuationSeparator" w:id="0">
    <w:p w14:paraId="11D5A940" w14:textId="77777777" w:rsidR="00C504D1" w:rsidRDefault="00C5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9E26" w14:textId="77777777" w:rsidR="00C7439B" w:rsidRDefault="00C7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206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C0AB0" w14:textId="77777777" w:rsidR="00886C52" w:rsidRDefault="00D25AAE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32A2C633" w14:textId="77777777" w:rsidR="00886C52" w:rsidRDefault="00886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0444" w14:textId="77777777" w:rsidR="00C7439B" w:rsidRDefault="00C7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116C" w14:textId="77777777" w:rsidR="00C504D1" w:rsidRDefault="00C504D1">
      <w:r>
        <w:separator/>
      </w:r>
    </w:p>
  </w:footnote>
  <w:footnote w:type="continuationSeparator" w:id="0">
    <w:p w14:paraId="4BD7383A" w14:textId="77777777" w:rsidR="00C504D1" w:rsidRDefault="00C5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8466" w14:textId="77777777" w:rsidR="00C7439B" w:rsidRDefault="00C7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F020" w14:textId="77777777" w:rsidR="00C7439B" w:rsidRDefault="00C74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7C0D" w14:textId="77777777" w:rsidR="00C7439B" w:rsidRDefault="00C7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92E7C"/>
    <w:multiLevelType w:val="hybridMultilevel"/>
    <w:tmpl w:val="B3D20F96"/>
    <w:lvl w:ilvl="0" w:tplc="E54C17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8D088E8" w:tentative="1">
      <w:start w:val="1"/>
      <w:numFmt w:val="lowerLetter"/>
      <w:lvlText w:val="%2."/>
      <w:lvlJc w:val="left"/>
      <w:pPr>
        <w:ind w:left="1440" w:hanging="360"/>
      </w:pPr>
    </w:lvl>
    <w:lvl w:ilvl="2" w:tplc="CF4E9A36" w:tentative="1">
      <w:start w:val="1"/>
      <w:numFmt w:val="lowerRoman"/>
      <w:lvlText w:val="%3."/>
      <w:lvlJc w:val="right"/>
      <w:pPr>
        <w:ind w:left="2160" w:hanging="180"/>
      </w:pPr>
    </w:lvl>
    <w:lvl w:ilvl="3" w:tplc="971ED82E" w:tentative="1">
      <w:start w:val="1"/>
      <w:numFmt w:val="decimal"/>
      <w:lvlText w:val="%4."/>
      <w:lvlJc w:val="left"/>
      <w:pPr>
        <w:ind w:left="2880" w:hanging="360"/>
      </w:pPr>
    </w:lvl>
    <w:lvl w:ilvl="4" w:tplc="F4F62F14" w:tentative="1">
      <w:start w:val="1"/>
      <w:numFmt w:val="lowerLetter"/>
      <w:lvlText w:val="%5."/>
      <w:lvlJc w:val="left"/>
      <w:pPr>
        <w:ind w:left="3600" w:hanging="360"/>
      </w:pPr>
    </w:lvl>
    <w:lvl w:ilvl="5" w:tplc="9490E774" w:tentative="1">
      <w:start w:val="1"/>
      <w:numFmt w:val="lowerRoman"/>
      <w:lvlText w:val="%6."/>
      <w:lvlJc w:val="right"/>
      <w:pPr>
        <w:ind w:left="4320" w:hanging="180"/>
      </w:pPr>
    </w:lvl>
    <w:lvl w:ilvl="6" w:tplc="07C46098" w:tentative="1">
      <w:start w:val="1"/>
      <w:numFmt w:val="decimal"/>
      <w:lvlText w:val="%7."/>
      <w:lvlJc w:val="left"/>
      <w:pPr>
        <w:ind w:left="5040" w:hanging="360"/>
      </w:pPr>
    </w:lvl>
    <w:lvl w:ilvl="7" w:tplc="0BFE6008" w:tentative="1">
      <w:start w:val="1"/>
      <w:numFmt w:val="lowerLetter"/>
      <w:lvlText w:val="%8."/>
      <w:lvlJc w:val="left"/>
      <w:pPr>
        <w:ind w:left="5760" w:hanging="360"/>
      </w:pPr>
    </w:lvl>
    <w:lvl w:ilvl="8" w:tplc="7298C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9AF"/>
    <w:multiLevelType w:val="hybridMultilevel"/>
    <w:tmpl w:val="3A789658"/>
    <w:lvl w:ilvl="0" w:tplc="B67E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051C4" w:tentative="1">
      <w:start w:val="1"/>
      <w:numFmt w:val="lowerLetter"/>
      <w:lvlText w:val="%2."/>
      <w:lvlJc w:val="left"/>
      <w:pPr>
        <w:ind w:left="1440" w:hanging="360"/>
      </w:pPr>
    </w:lvl>
    <w:lvl w:ilvl="2" w:tplc="2260FFB4" w:tentative="1">
      <w:start w:val="1"/>
      <w:numFmt w:val="lowerRoman"/>
      <w:lvlText w:val="%3."/>
      <w:lvlJc w:val="right"/>
      <w:pPr>
        <w:ind w:left="2160" w:hanging="180"/>
      </w:pPr>
    </w:lvl>
    <w:lvl w:ilvl="3" w:tplc="44DAD9DE" w:tentative="1">
      <w:start w:val="1"/>
      <w:numFmt w:val="decimal"/>
      <w:lvlText w:val="%4."/>
      <w:lvlJc w:val="left"/>
      <w:pPr>
        <w:ind w:left="2880" w:hanging="360"/>
      </w:pPr>
    </w:lvl>
    <w:lvl w:ilvl="4" w:tplc="A254DBE0" w:tentative="1">
      <w:start w:val="1"/>
      <w:numFmt w:val="lowerLetter"/>
      <w:lvlText w:val="%5."/>
      <w:lvlJc w:val="left"/>
      <w:pPr>
        <w:ind w:left="3600" w:hanging="360"/>
      </w:pPr>
    </w:lvl>
    <w:lvl w:ilvl="5" w:tplc="B7E41A2C" w:tentative="1">
      <w:start w:val="1"/>
      <w:numFmt w:val="lowerRoman"/>
      <w:lvlText w:val="%6."/>
      <w:lvlJc w:val="right"/>
      <w:pPr>
        <w:ind w:left="4320" w:hanging="180"/>
      </w:pPr>
    </w:lvl>
    <w:lvl w:ilvl="6" w:tplc="85546E34" w:tentative="1">
      <w:start w:val="1"/>
      <w:numFmt w:val="decimal"/>
      <w:lvlText w:val="%7."/>
      <w:lvlJc w:val="left"/>
      <w:pPr>
        <w:ind w:left="5040" w:hanging="360"/>
      </w:pPr>
    </w:lvl>
    <w:lvl w:ilvl="7" w:tplc="3E387646" w:tentative="1">
      <w:start w:val="1"/>
      <w:numFmt w:val="lowerLetter"/>
      <w:lvlText w:val="%8."/>
      <w:lvlJc w:val="left"/>
      <w:pPr>
        <w:ind w:left="5760" w:hanging="360"/>
      </w:pPr>
    </w:lvl>
    <w:lvl w:ilvl="8" w:tplc="EA58C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0A7"/>
    <w:multiLevelType w:val="hybridMultilevel"/>
    <w:tmpl w:val="6860B938"/>
    <w:lvl w:ilvl="0" w:tplc="F5E28BC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3CF6354E" w:tentative="1">
      <w:start w:val="1"/>
      <w:numFmt w:val="lowerLetter"/>
      <w:lvlText w:val="%2."/>
      <w:lvlJc w:val="left"/>
      <w:pPr>
        <w:ind w:left="1800" w:hanging="360"/>
      </w:pPr>
    </w:lvl>
    <w:lvl w:ilvl="2" w:tplc="55A4DF72" w:tentative="1">
      <w:start w:val="1"/>
      <w:numFmt w:val="lowerRoman"/>
      <w:lvlText w:val="%3."/>
      <w:lvlJc w:val="right"/>
      <w:pPr>
        <w:ind w:left="2520" w:hanging="180"/>
      </w:pPr>
    </w:lvl>
    <w:lvl w:ilvl="3" w:tplc="CC48A54A" w:tentative="1">
      <w:start w:val="1"/>
      <w:numFmt w:val="decimal"/>
      <w:lvlText w:val="%4."/>
      <w:lvlJc w:val="left"/>
      <w:pPr>
        <w:ind w:left="3240" w:hanging="360"/>
      </w:pPr>
    </w:lvl>
    <w:lvl w:ilvl="4" w:tplc="8778898E" w:tentative="1">
      <w:start w:val="1"/>
      <w:numFmt w:val="lowerLetter"/>
      <w:lvlText w:val="%5."/>
      <w:lvlJc w:val="left"/>
      <w:pPr>
        <w:ind w:left="3960" w:hanging="360"/>
      </w:pPr>
    </w:lvl>
    <w:lvl w:ilvl="5" w:tplc="7FD202EC" w:tentative="1">
      <w:start w:val="1"/>
      <w:numFmt w:val="lowerRoman"/>
      <w:lvlText w:val="%6."/>
      <w:lvlJc w:val="right"/>
      <w:pPr>
        <w:ind w:left="4680" w:hanging="180"/>
      </w:pPr>
    </w:lvl>
    <w:lvl w:ilvl="6" w:tplc="9780711C" w:tentative="1">
      <w:start w:val="1"/>
      <w:numFmt w:val="decimal"/>
      <w:lvlText w:val="%7."/>
      <w:lvlJc w:val="left"/>
      <w:pPr>
        <w:ind w:left="5400" w:hanging="360"/>
      </w:pPr>
    </w:lvl>
    <w:lvl w:ilvl="7" w:tplc="D26C09DA" w:tentative="1">
      <w:start w:val="1"/>
      <w:numFmt w:val="lowerLetter"/>
      <w:lvlText w:val="%8."/>
      <w:lvlJc w:val="left"/>
      <w:pPr>
        <w:ind w:left="6120" w:hanging="360"/>
      </w:pPr>
    </w:lvl>
    <w:lvl w:ilvl="8" w:tplc="3C1ED6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C09B2"/>
    <w:multiLevelType w:val="hybridMultilevel"/>
    <w:tmpl w:val="E258CE30"/>
    <w:lvl w:ilvl="0" w:tplc="86CCCF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B6C5304">
      <w:start w:val="1"/>
      <w:numFmt w:val="lowerRoman"/>
      <w:lvlText w:val="%2."/>
      <w:lvlJc w:val="right"/>
      <w:pPr>
        <w:ind w:left="1440" w:hanging="360"/>
      </w:pPr>
    </w:lvl>
    <w:lvl w:ilvl="2" w:tplc="318C2852" w:tentative="1">
      <w:start w:val="1"/>
      <w:numFmt w:val="lowerRoman"/>
      <w:lvlText w:val="%3."/>
      <w:lvlJc w:val="right"/>
      <w:pPr>
        <w:ind w:left="2160" w:hanging="180"/>
      </w:pPr>
    </w:lvl>
    <w:lvl w:ilvl="3" w:tplc="31A6FC7A" w:tentative="1">
      <w:start w:val="1"/>
      <w:numFmt w:val="decimal"/>
      <w:lvlText w:val="%4."/>
      <w:lvlJc w:val="left"/>
      <w:pPr>
        <w:ind w:left="2880" w:hanging="360"/>
      </w:pPr>
    </w:lvl>
    <w:lvl w:ilvl="4" w:tplc="68B2D2E4" w:tentative="1">
      <w:start w:val="1"/>
      <w:numFmt w:val="lowerLetter"/>
      <w:lvlText w:val="%5."/>
      <w:lvlJc w:val="left"/>
      <w:pPr>
        <w:ind w:left="3600" w:hanging="360"/>
      </w:pPr>
    </w:lvl>
    <w:lvl w:ilvl="5" w:tplc="1DFA7446" w:tentative="1">
      <w:start w:val="1"/>
      <w:numFmt w:val="lowerRoman"/>
      <w:lvlText w:val="%6."/>
      <w:lvlJc w:val="right"/>
      <w:pPr>
        <w:ind w:left="4320" w:hanging="180"/>
      </w:pPr>
    </w:lvl>
    <w:lvl w:ilvl="6" w:tplc="3D6CAD2E" w:tentative="1">
      <w:start w:val="1"/>
      <w:numFmt w:val="decimal"/>
      <w:lvlText w:val="%7."/>
      <w:lvlJc w:val="left"/>
      <w:pPr>
        <w:ind w:left="5040" w:hanging="360"/>
      </w:pPr>
    </w:lvl>
    <w:lvl w:ilvl="7" w:tplc="5C605414" w:tentative="1">
      <w:start w:val="1"/>
      <w:numFmt w:val="lowerLetter"/>
      <w:lvlText w:val="%8."/>
      <w:lvlJc w:val="left"/>
      <w:pPr>
        <w:ind w:left="5760" w:hanging="360"/>
      </w:pPr>
    </w:lvl>
    <w:lvl w:ilvl="8" w:tplc="F1E8F1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DA"/>
    <w:rsid w:val="00033806"/>
    <w:rsid w:val="000421AA"/>
    <w:rsid w:val="001770CA"/>
    <w:rsid w:val="00190CF7"/>
    <w:rsid w:val="001B2587"/>
    <w:rsid w:val="00202F79"/>
    <w:rsid w:val="002416A6"/>
    <w:rsid w:val="002846E9"/>
    <w:rsid w:val="002E7F40"/>
    <w:rsid w:val="003D1F0B"/>
    <w:rsid w:val="003F77F0"/>
    <w:rsid w:val="0043180C"/>
    <w:rsid w:val="00443991"/>
    <w:rsid w:val="004A7B4E"/>
    <w:rsid w:val="00541617"/>
    <w:rsid w:val="00554AC3"/>
    <w:rsid w:val="005702BB"/>
    <w:rsid w:val="00571636"/>
    <w:rsid w:val="005B3339"/>
    <w:rsid w:val="006005D8"/>
    <w:rsid w:val="006176C0"/>
    <w:rsid w:val="006A28F0"/>
    <w:rsid w:val="006E428A"/>
    <w:rsid w:val="00717B6F"/>
    <w:rsid w:val="00746A79"/>
    <w:rsid w:val="007C0D14"/>
    <w:rsid w:val="00815744"/>
    <w:rsid w:val="0084050D"/>
    <w:rsid w:val="0084377C"/>
    <w:rsid w:val="00886C52"/>
    <w:rsid w:val="008A1EDE"/>
    <w:rsid w:val="00903FDA"/>
    <w:rsid w:val="00954AF2"/>
    <w:rsid w:val="00960D54"/>
    <w:rsid w:val="009D7867"/>
    <w:rsid w:val="00A04735"/>
    <w:rsid w:val="00A52000"/>
    <w:rsid w:val="00B41793"/>
    <w:rsid w:val="00BA2EDB"/>
    <w:rsid w:val="00BA785D"/>
    <w:rsid w:val="00C1733E"/>
    <w:rsid w:val="00C26389"/>
    <w:rsid w:val="00C504D1"/>
    <w:rsid w:val="00C7439B"/>
    <w:rsid w:val="00D25AAE"/>
    <w:rsid w:val="00D97731"/>
    <w:rsid w:val="00DF587F"/>
    <w:rsid w:val="00E50A8B"/>
    <w:rsid w:val="00E6185F"/>
    <w:rsid w:val="00E764CD"/>
    <w:rsid w:val="00EE29A1"/>
    <w:rsid w:val="00F411E8"/>
    <w:rsid w:val="00F502C5"/>
    <w:rsid w:val="00F57FDA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F83F"/>
  <w15:chartTrackingRefBased/>
  <w15:docId w15:val="{E26F7E86-FE56-4737-9346-61C1030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DA"/>
  </w:style>
  <w:style w:type="paragraph" w:styleId="Heading1">
    <w:name w:val="heading 1"/>
    <w:basedOn w:val="Normal"/>
    <w:next w:val="Normal"/>
    <w:link w:val="Heading1Char"/>
    <w:uiPriority w:val="9"/>
    <w:qFormat/>
    <w:rsid w:val="002416A6"/>
    <w:pPr>
      <w:keepNext/>
      <w:widowControl w:val="0"/>
      <w:spacing w:after="240"/>
      <w:jc w:val="center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6A6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uiPriority w:val="1"/>
    <w:rsid w:val="002416A6"/>
    <w:pPr>
      <w:spacing w:after="240"/>
      <w:ind w:left="1440" w:right="1440"/>
    </w:pPr>
    <w:rPr>
      <w:rFonts w:eastAsiaTheme="minorEastAsia"/>
      <w:iCs/>
    </w:rPr>
  </w:style>
  <w:style w:type="paragraph" w:customStyle="1" w:styleId="Double1stLineIndent">
    <w:name w:val="Double 1st Line Indent"/>
    <w:basedOn w:val="Normal"/>
    <w:uiPriority w:val="1"/>
    <w:qFormat/>
    <w:rsid w:val="002416A6"/>
    <w:pPr>
      <w:spacing w:line="480" w:lineRule="auto"/>
      <w:ind w:firstLine="720"/>
    </w:pPr>
  </w:style>
  <w:style w:type="paragraph" w:styleId="Footer">
    <w:name w:val="footer"/>
    <w:basedOn w:val="Normal"/>
    <w:link w:val="FooterChar"/>
    <w:uiPriority w:val="99"/>
    <w:unhideWhenUsed/>
    <w:rsid w:val="00241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A6"/>
  </w:style>
  <w:style w:type="paragraph" w:styleId="Header">
    <w:name w:val="header"/>
    <w:basedOn w:val="Normal"/>
    <w:link w:val="HeaderChar"/>
    <w:uiPriority w:val="99"/>
    <w:unhideWhenUsed/>
    <w:rsid w:val="00241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A6"/>
  </w:style>
  <w:style w:type="character" w:customStyle="1" w:styleId="Heading1Char">
    <w:name w:val="Heading 1 Char"/>
    <w:basedOn w:val="DefaultParagraphFont"/>
    <w:link w:val="Heading1"/>
    <w:uiPriority w:val="9"/>
    <w:rsid w:val="002416A6"/>
    <w:rPr>
      <w:rFonts w:eastAsiaTheme="majorEastAsia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16A6"/>
    <w:rPr>
      <w:rFonts w:eastAsiaTheme="majorEastAsia" w:cstheme="majorBidi"/>
      <w:b/>
      <w:bCs/>
      <w:szCs w:val="26"/>
    </w:rPr>
  </w:style>
  <w:style w:type="paragraph" w:styleId="Closing">
    <w:name w:val="Closing"/>
    <w:basedOn w:val="Normal"/>
    <w:next w:val="Normal"/>
    <w:link w:val="ClosingChar"/>
    <w:uiPriority w:val="2"/>
    <w:rsid w:val="002416A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2"/>
    <w:rsid w:val="002416A6"/>
  </w:style>
  <w:style w:type="paragraph" w:customStyle="1" w:styleId="SingleFirstLineIndent">
    <w:name w:val="Single First Line Indent"/>
    <w:basedOn w:val="Normal"/>
    <w:qFormat/>
    <w:rsid w:val="002416A6"/>
    <w:pPr>
      <w:spacing w:after="240"/>
      <w:ind w:firstLine="720"/>
    </w:pPr>
  </w:style>
  <w:style w:type="paragraph" w:customStyle="1" w:styleId="NormalDoubleSpaced">
    <w:name w:val="Normal Double Spaced"/>
    <w:basedOn w:val="Normal"/>
    <w:qFormat/>
    <w:rsid w:val="002416A6"/>
    <w:pPr>
      <w:spacing w:line="480" w:lineRule="auto"/>
    </w:pPr>
  </w:style>
  <w:style w:type="character" w:styleId="PageNumber">
    <w:name w:val="page number"/>
    <w:basedOn w:val="DefaultParagraphFont"/>
    <w:rsid w:val="00903FDA"/>
  </w:style>
  <w:style w:type="paragraph" w:styleId="ListParagraph">
    <w:name w:val="List Paragraph"/>
    <w:basedOn w:val="Normal"/>
    <w:uiPriority w:val="34"/>
    <w:qFormat/>
    <w:rsid w:val="0074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4F4FEE1208F42AAE6617E3547D639" ma:contentTypeVersion="4" ma:contentTypeDescription="Create a new document." ma:contentTypeScope="" ma:versionID="07ad71c53163558b45a7a9e3bd0e86a9">
  <xsd:schema xmlns:xsd="http://www.w3.org/2001/XMLSchema" xmlns:xs="http://www.w3.org/2001/XMLSchema" xmlns:p="http://schemas.microsoft.com/office/2006/metadata/properties" xmlns:ns3="bff2184a-762e-4cb4-954d-7f119f4a910d" targetNamespace="http://schemas.microsoft.com/office/2006/metadata/properties" ma:root="true" ma:fieldsID="b89797cd8f20827916d37461e870b797" ns3:_="">
    <xsd:import namespace="bff2184a-762e-4cb4-954d-7f119f4a9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184a-762e-4cb4-954d-7f119f4a9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3F8B3-AB8F-41D3-AC03-A90134A39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184a-762e-4cb4-954d-7f119f4a9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84856-EB2F-45EA-B024-93FDFE2F3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AB2AA-A7CD-4716-BEAF-AB2050DA6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8504</Characters>
  <Application>Microsoft Office Word</Application>
  <DocSecurity>0</DocSecurity>
  <PresentationFormat>15|.DOCX</PresentationFormat>
  <Lines>70</Lines>
  <Paragraphs>19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</cp:lastModifiedBy>
  <cp:revision>2</cp:revision>
  <dcterms:created xsi:type="dcterms:W3CDTF">2022-04-01T19:32:00Z</dcterms:created>
  <dcterms:modified xsi:type="dcterms:W3CDTF">2022-04-01T19:32:00Z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0x010100F0B4F4FEE1208F42AAE6617E3547D639</vt:lpwstr>
  </property>
</Properties>
</file>